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2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30"/>
        <w:gridCol w:w="3585"/>
      </w:tblGrid>
      <w:tr>
        <w:tblPrEx>
          <w:shd w:val="clear" w:color="auto" w:fill="ced7e7"/>
        </w:tblPrEx>
        <w:trPr>
          <w:trHeight w:val="2299" w:hRule="atLeast"/>
        </w:trPr>
        <w:tc>
          <w:tcPr>
            <w:tcW w:type="dxa" w:w="6630"/>
            <w:tcBorders>
              <w:top w:val="nil"/>
              <w:left w:val="nil"/>
              <w:bottom w:val="nil"/>
              <w:right w:val="nil"/>
            </w:tcBorders>
            <w:shd w:val="clear" w:color="auto" w:fill="auto"/>
            <w:tcMar>
              <w:top w:type="dxa" w:w="0"/>
              <w:left w:type="dxa" w:w="80"/>
              <w:bottom w:type="dxa" w:w="0"/>
              <w:right w:type="dxa" w:w="80"/>
            </w:tcMar>
            <w:vAlign w:val="top"/>
          </w:tcPr>
          <w:p>
            <w:pPr>
              <w:pStyle w:val="Body"/>
              <w:rPr>
                <w:rFonts w:ascii="Times New Roman" w:hAnsi="Times New Roman"/>
                <w:sz w:val="28"/>
                <w:szCs w:val="28"/>
                <w:lang w:val="en-US"/>
              </w:rPr>
            </w:pPr>
          </w:p>
          <w:p>
            <w:pPr>
              <w:pStyle w:val="Body"/>
              <w:bidi w:val="0"/>
              <w:ind w:left="0" w:right="0" w:firstLine="0"/>
              <w:jc w:val="left"/>
              <w:rPr>
                <w:i w:val="1"/>
                <w:iCs w:val="1"/>
                <w:sz w:val="32"/>
                <w:szCs w:val="32"/>
                <w:rtl w:val="0"/>
              </w:rPr>
            </w:pPr>
            <w:r>
              <w:rPr>
                <w:rFonts w:ascii="Times New Roman" w:hAnsi="Times New Roman"/>
                <w:i w:val="0"/>
                <w:iCs w:val="0"/>
                <w:sz w:val="28"/>
                <w:szCs w:val="28"/>
                <w:rtl w:val="0"/>
                <w:lang w:val="en-US"/>
              </w:rPr>
              <w:t>Student Wellness Commission</w:t>
            </w:r>
          </w:p>
          <w:p>
            <w:pPr>
              <w:pStyle w:val="Body"/>
              <w:bidi w:val="0"/>
              <w:ind w:left="0" w:right="0" w:firstLine="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Soz Mirza</w:t>
            </w:r>
            <w:r>
              <w:rPr>
                <w:rFonts w:ascii="Times New Roman" w:hAnsi="Times New Roman"/>
                <w:sz w:val="28"/>
                <w:szCs w:val="28"/>
                <w:rtl w:val="0"/>
                <w:lang w:val="en-US"/>
              </w:rPr>
              <w:t xml:space="preserve">, </w:t>
            </w:r>
            <w:r>
              <w:rPr>
                <w:rFonts w:ascii="Times New Roman" w:hAnsi="Times New Roman"/>
                <w:sz w:val="28"/>
                <w:szCs w:val="28"/>
                <w:rtl w:val="0"/>
                <w:lang w:val="en-US"/>
              </w:rPr>
              <w:t>Public Relations Director</w:t>
            </w:r>
          </w:p>
          <w:p>
            <w:pPr>
              <w:pStyle w:val="Body"/>
              <w:bidi w:val="0"/>
              <w:ind w:left="0" w:right="0" w:firstLine="0"/>
              <w:jc w:val="left"/>
              <w:rPr>
                <w:sz w:val="32"/>
                <w:szCs w:val="32"/>
                <w:rtl w:val="0"/>
              </w:rPr>
            </w:pPr>
            <w:r>
              <w:rPr>
                <w:rFonts w:ascii="Times New Roman" w:hAnsi="Times New Roman"/>
                <w:sz w:val="28"/>
                <w:szCs w:val="28"/>
                <w:rtl w:val="0"/>
                <w:lang w:val="en-US"/>
              </w:rPr>
              <w:t>Christina Lee, Commissioenr</w:t>
            </w:r>
          </w:p>
          <w:p>
            <w:pPr>
              <w:pStyle w:val="Body"/>
              <w:bidi w:val="0"/>
              <w:ind w:left="0" w:right="0" w:firstLine="0"/>
              <w:jc w:val="left"/>
              <w:rPr>
                <w:sz w:val="32"/>
                <w:szCs w:val="32"/>
                <w:rtl w:val="0"/>
              </w:rPr>
            </w:pPr>
            <w:r>
              <w:rPr>
                <w:rFonts w:ascii="Times New Roman" w:hAnsi="Times New Roman"/>
                <w:sz w:val="28"/>
                <w:szCs w:val="28"/>
                <w:rtl w:val="0"/>
                <w:lang w:val="en-US"/>
              </w:rPr>
              <w:t>uclaswc@gmail.com</w:t>
            </w:r>
          </w:p>
          <w:p>
            <w:pPr>
              <w:pStyle w:val="Body"/>
              <w:bidi w:val="0"/>
              <w:ind w:left="0" w:right="0" w:firstLine="0"/>
              <w:jc w:val="left"/>
              <w:rPr>
                <w:rtl w:val="0"/>
              </w:rPr>
            </w:pPr>
            <w:r>
              <w:rPr>
                <w:rFonts w:ascii="Times New Roman" w:hAnsi="Times New Roman"/>
                <w:sz w:val="28"/>
                <w:szCs w:val="28"/>
                <w:rtl w:val="0"/>
                <w:lang w:val="en-US"/>
              </w:rPr>
              <w:t>310-825-7</w:t>
            </w:r>
            <w:r>
              <w:rPr>
                <w:rFonts w:ascii="Times New Roman" w:hAnsi="Times New Roman"/>
                <w:sz w:val="28"/>
                <w:szCs w:val="28"/>
                <w:rtl w:val="0"/>
                <w:lang w:val="en-US"/>
              </w:rPr>
              <w:t>586</w:t>
            </w:r>
          </w:p>
        </w:tc>
        <w:tc>
          <w:tcPr>
            <w:tcW w:type="dxa" w:w="3585"/>
            <w:tcBorders>
              <w:top w:val="nil"/>
              <w:left w:val="nil"/>
              <w:bottom w:val="nil"/>
              <w:right w:val="nil"/>
            </w:tcBorders>
            <w:shd w:val="clear" w:color="auto" w:fill="auto"/>
            <w:tcMar>
              <w:top w:type="dxa" w:w="0"/>
              <w:left w:type="dxa" w:w="80"/>
              <w:bottom w:type="dxa" w:w="0"/>
              <w:right w:type="dxa" w:w="80"/>
            </w:tcMar>
            <w:vAlign w:val="top"/>
          </w:tcPr>
          <w:p>
            <w:pPr>
              <w:spacing w:before="0" w:after="0"/>
              <w:ind w:left="0" w:right="0" w:firstLine="0"/>
              <w:jc w:val="center"/>
            </w:pPr>
            <w:r>
              <w:drawing>
                <wp:inline distT="0" distB="0" distL="0" distR="0">
                  <wp:extent cx="2276475" cy="9969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WC-Logo.png"/>
                          <pic:cNvPicPr>
                            <a:picLocks noChangeAspect="0"/>
                          </pic:cNvPicPr>
                        </pic:nvPicPr>
                        <pic:blipFill>
                          <a:blip r:embed="rId4">
                            <a:extLst/>
                          </a:blip>
                          <a:srcRect l="0" t="0" r="0" b="0"/>
                          <a:stretch>
                            <a:fillRect/>
                          </a:stretch>
                        </pic:blipFill>
                        <pic:spPr>
                          <a:xfrm>
                            <a:off x="0" y="0"/>
                            <a:ext cx="2276475" cy="996997"/>
                          </a:xfrm>
                          <a:prstGeom prst="rect">
                            <a:avLst/>
                          </a:prstGeom>
                        </pic:spPr>
                      </pic:pic>
                    </a:graphicData>
                  </a:graphic>
                </wp:inline>
              </w:drawing>
            </w:r>
          </w:p>
        </w:tc>
      </w:tr>
    </w:tbl>
    <w:p>
      <w:pPr>
        <w:pStyle w:val="Body"/>
        <w:widowControl w:val="0"/>
        <w:spacing w:line="240" w:lineRule="auto"/>
      </w:pPr>
    </w:p>
    <w:p>
      <w:pPr>
        <w:pStyle w:val="Body"/>
      </w:pPr>
      <w:r>
        <w:rPr>
          <w:rFonts w:ascii="Times New Roman" w:hAnsi="Times New Roman"/>
          <w:i w:val="1"/>
          <w:iCs w:val="1"/>
          <w:sz w:val="28"/>
          <w:szCs w:val="28"/>
          <w:rtl w:val="0"/>
        </w:rPr>
        <w:t>FOR IMMEDIATE RELEASE</w:t>
      </w:r>
    </w:p>
    <w:p>
      <w:pPr>
        <w:pStyle w:val="Body"/>
      </w:pPr>
      <w:r>
        <w:rPr>
          <w:rFonts w:ascii="Times New Roman" w:hAnsi="Times New Roman"/>
          <w:sz w:val="28"/>
          <w:szCs w:val="28"/>
          <w:rtl w:val="0"/>
        </w:rPr>
        <w:t xml:space="preserve"> </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UCLA</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 xml:space="preserve">s </w:t>
      </w:r>
      <w:r>
        <w:rPr>
          <w:rFonts w:ascii="Times New Roman" w:hAnsi="Times New Roman"/>
          <w:b w:val="1"/>
          <w:bCs w:val="1"/>
          <w:sz w:val="28"/>
          <w:szCs w:val="28"/>
          <w:rtl w:val="0"/>
          <w:lang w:val="en-US"/>
        </w:rPr>
        <w:t>Student Wellness Commission</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 xml:space="preserve">Launches Free Menstrual </w:t>
      </w:r>
    </w:p>
    <w:p>
      <w:pPr>
        <w:pStyle w:val="Body"/>
        <w:jc w:val="center"/>
        <w:rPr>
          <w:sz w:val="28"/>
          <w:szCs w:val="28"/>
        </w:rPr>
      </w:pPr>
      <w:r>
        <w:rPr>
          <w:rFonts w:ascii="Times New Roman" w:hAnsi="Times New Roman"/>
          <w:b w:val="1"/>
          <w:bCs w:val="1"/>
          <w:sz w:val="28"/>
          <w:szCs w:val="28"/>
          <w:rtl w:val="0"/>
          <w:lang w:val="en-US"/>
        </w:rPr>
        <w:t>Product Program</w:t>
      </w:r>
      <w:r>
        <w:rPr>
          <w:rFonts w:ascii="Times New Roman" w:hAnsi="Times New Roman"/>
          <w:b w:val="1"/>
          <w:bCs w:val="1"/>
          <w:sz w:val="28"/>
          <w:szCs w:val="28"/>
          <w:rtl w:val="0"/>
          <w:lang w:val="en-US"/>
        </w:rPr>
        <w:t xml:space="preserve"> in UCLA </w:t>
      </w:r>
      <w:r>
        <w:rPr>
          <w:rFonts w:ascii="Times New Roman" w:hAnsi="Times New Roman"/>
          <w:b w:val="1"/>
          <w:bCs w:val="1"/>
          <w:sz w:val="28"/>
          <w:szCs w:val="28"/>
          <w:rtl w:val="0"/>
          <w:lang w:val="en-US"/>
        </w:rPr>
        <w:t>Ashe Student Health &amp; Wellness Center</w:t>
      </w:r>
    </w:p>
    <w:p>
      <w:pPr>
        <w:pStyle w:val="Body"/>
        <w:jc w:val="center"/>
        <w:rPr>
          <w:sz w:val="26"/>
          <w:szCs w:val="26"/>
        </w:rPr>
      </w:pPr>
      <w:r>
        <w:rPr>
          <w:rFonts w:ascii="Times New Roman" w:hAnsi="Times New Roman"/>
          <w:i w:val="1"/>
          <w:iCs w:val="1"/>
          <w:sz w:val="26"/>
          <w:szCs w:val="26"/>
          <w:rtl w:val="0"/>
          <w:lang w:val="en-US"/>
        </w:rPr>
        <w:t>First public university to offer free menstrual products</w:t>
      </w:r>
    </w:p>
    <w:p>
      <w:pPr>
        <w:pStyle w:val="Body"/>
      </w:pPr>
      <w:r>
        <w:rPr>
          <w:rFonts w:ascii="Times New Roman" w:hAnsi="Times New Roman"/>
          <w:sz w:val="28"/>
          <w:szCs w:val="28"/>
          <w:rtl w:val="0"/>
        </w:rPr>
        <w:t xml:space="preserve"> </w:t>
      </w:r>
    </w:p>
    <w:p>
      <w:pPr>
        <w:pStyle w:val="Body"/>
      </w:pPr>
      <w:r>
        <w:rPr>
          <w:rFonts w:ascii="Times New Roman" w:hAnsi="Times New Roman"/>
          <w:sz w:val="28"/>
          <w:szCs w:val="28"/>
          <w:rtl w:val="0"/>
        </w:rPr>
        <w:t>UCLA</w:t>
      </w:r>
      <w:r>
        <w:rPr>
          <w:rFonts w:ascii="Times New Roman" w:hAnsi="Times New Roman" w:hint="default"/>
          <w:sz w:val="28"/>
          <w:szCs w:val="28"/>
          <w:rtl w:val="0"/>
          <w:lang w:val="en-US"/>
        </w:rPr>
        <w:t xml:space="preserve"> –</w:t>
      </w:r>
      <w:r>
        <w:rPr>
          <w:rFonts w:ascii="Times New Roman" w:hAnsi="Times New Roman"/>
          <w:sz w:val="28"/>
          <w:szCs w:val="28"/>
          <w:rtl w:val="0"/>
          <w:lang w:val="en-US"/>
        </w:rPr>
        <w:t>Feb. 20</w:t>
      </w:r>
      <w:r>
        <w:rPr>
          <w:rFonts w:ascii="Times New Roman" w:hAnsi="Times New Roman"/>
          <w:sz w:val="28"/>
          <w:szCs w:val="28"/>
          <w:rtl w:val="0"/>
        </w:rPr>
        <w:t>, 2017</w:t>
      </w:r>
      <w:r>
        <w:rPr>
          <w:rFonts w:ascii="Times New Roman" w:hAnsi="Times New Roman" w:hint="default"/>
          <w:sz w:val="28"/>
          <w:szCs w:val="28"/>
          <w:rtl w:val="0"/>
          <w:lang w:val="en-US"/>
        </w:rPr>
        <w:t xml:space="preserve"> – </w:t>
      </w:r>
      <w:r>
        <w:rPr>
          <w:rFonts w:ascii="Times New Roman" w:hAnsi="Times New Roman"/>
          <w:sz w:val="28"/>
          <w:szCs w:val="28"/>
          <w:rtl w:val="0"/>
          <w:lang w:val="en-US"/>
        </w:rPr>
        <w:t xml:space="preserve">The Student Wellness Commission at UCLA recently introduced the first student initiated and student funded program at a public university, and the first university on the west coast to offer free menstrual hygiene products to all students. </w:t>
      </w:r>
      <w:r>
        <w:rPr>
          <w:rFonts w:ascii="Times New Roman" w:hAnsi="Times New Roman"/>
          <w:sz w:val="28"/>
          <w:szCs w:val="28"/>
          <w:rtl w:val="0"/>
        </w:rPr>
        <w:t xml:space="preserve"> </w:t>
      </w:r>
    </w:p>
    <w:p>
      <w:pPr>
        <w:pStyle w:val="Body"/>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Unlike </w:t>
      </w:r>
      <w:r>
        <w:rPr>
          <w:rFonts w:ascii="Times New Roman" w:hAnsi="Times New Roman"/>
          <w:sz w:val="28"/>
          <w:szCs w:val="28"/>
          <w:rtl w:val="0"/>
          <w:lang w:val="en-US"/>
        </w:rPr>
        <w:t xml:space="preserve">drives that collect menstrual hygiene products such as pads and tampons from donations, this program is institutionalized in </w:t>
      </w:r>
      <w:r>
        <w:rPr>
          <w:rFonts w:ascii="Times New Roman" w:hAnsi="Times New Roman"/>
          <w:sz w:val="28"/>
          <w:szCs w:val="28"/>
          <w:rtl w:val="0"/>
          <w:lang w:val="en-US"/>
        </w:rPr>
        <w:t>The Ashe Center</w:t>
      </w:r>
      <w:r>
        <w:rPr>
          <w:rFonts w:ascii="Times New Roman" w:hAnsi="Times New Roman"/>
          <w:sz w:val="28"/>
          <w:szCs w:val="28"/>
          <w:rtl w:val="0"/>
          <w:lang w:val="en-US"/>
        </w:rPr>
        <w:t xml:space="preserve"> and will continue to serve the student population. Students are able to safely and comfortably access pads and tampons alongside previously offered hygiene products, such as toothbrushes, and toothpaste, by the clinic desks and through more discreet dispensers located near the restrooms. </w:t>
      </w:r>
      <w:r>
        <w:rPr>
          <w:rFonts w:ascii="Times New Roman" w:hAnsi="Times New Roman"/>
          <w:sz w:val="28"/>
          <w:szCs w:val="28"/>
          <w:rtl w:val="0"/>
        </w:rPr>
        <w:t xml:space="preserve"> </w:t>
      </w:r>
      <w:r>
        <w:rPr>
          <w:rFonts w:ascii="Times New Roman" w:hAnsi="Times New Roman"/>
          <w:sz w:val="28"/>
          <w:szCs w:val="28"/>
          <w:rtl w:val="0"/>
          <w:lang w:val="en-US"/>
        </w:rPr>
        <w:t>The Student Wellness Commission</w:t>
      </w:r>
      <w:r>
        <w:rPr>
          <w:rFonts w:ascii="Times New Roman" w:hAnsi="Times New Roman"/>
          <w:sz w:val="28"/>
          <w:szCs w:val="28"/>
          <w:rtl w:val="0"/>
        </w:rPr>
        <w:t xml:space="preserve"> </w:t>
      </w:r>
      <w:r>
        <w:rPr>
          <w:rFonts w:ascii="Times New Roman" w:hAnsi="Times New Roman"/>
          <w:sz w:val="28"/>
          <w:szCs w:val="28"/>
          <w:rtl w:val="0"/>
          <w:lang w:val="en-US"/>
        </w:rPr>
        <w:t>not only looks to increase resources available at the school, but also hopes to address stigma surrounding menstrual cycles through the program</w:t>
      </w:r>
      <w:r>
        <w:rPr>
          <w:rFonts w:ascii="Times New Roman" w:hAnsi="Times New Roman"/>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Student Wellness Commission seeks to be inclusive in this conversation regarding menstruation</w:t>
      </w:r>
      <w:r>
        <w:rPr>
          <w:rFonts w:ascii="Times New Roman" w:hAnsi="Times New Roman" w:hint="default"/>
          <w:sz w:val="28"/>
          <w:szCs w:val="28"/>
          <w:rtl w:val="0"/>
          <w:lang w:val="en-US"/>
        </w:rPr>
        <w:t xml:space="preserve">— </w:t>
      </w:r>
      <w:r>
        <w:rPr>
          <w:rFonts w:ascii="Times New Roman" w:hAnsi="Times New Roman"/>
          <w:sz w:val="28"/>
          <w:szCs w:val="28"/>
          <w:rtl w:val="0"/>
          <w:lang w:val="en-US"/>
        </w:rPr>
        <w:t>women are not the sole consumers of such hygiene products. By offering these products by both the men</w:t>
      </w:r>
      <w:r>
        <w:rPr>
          <w:rFonts w:ascii="Times New Roman" w:hAnsi="Times New Roman" w:hint="default"/>
          <w:sz w:val="28"/>
          <w:szCs w:val="28"/>
          <w:rtl w:val="0"/>
          <w:lang w:val="en-US"/>
        </w:rPr>
        <w:t>’</w:t>
      </w:r>
      <w:r>
        <w:rPr>
          <w:rFonts w:ascii="Times New Roman" w:hAnsi="Times New Roman"/>
          <w:sz w:val="28"/>
          <w:szCs w:val="28"/>
          <w:rtl w:val="0"/>
          <w:lang w:val="en-US"/>
        </w:rPr>
        <w:t>s and women's restrooms, in addition to the gender neutral restrooms, inclusivity is central to the conversation. The products are also accessible at UCLA</w:t>
      </w:r>
      <w:r>
        <w:rPr>
          <w:rFonts w:ascii="Times New Roman" w:hAnsi="Times New Roman" w:hint="default"/>
          <w:sz w:val="28"/>
          <w:szCs w:val="28"/>
          <w:rtl w:val="0"/>
          <w:lang w:val="en-US"/>
        </w:rPr>
        <w:t>’</w:t>
      </w:r>
      <w:r>
        <w:rPr>
          <w:rFonts w:ascii="Times New Roman" w:hAnsi="Times New Roman"/>
          <w:sz w:val="28"/>
          <w:szCs w:val="28"/>
          <w:rtl w:val="0"/>
          <w:lang w:val="en-US"/>
        </w:rPr>
        <w:t xml:space="preserve">s LGBT Campus Resource Center. </w:t>
      </w:r>
    </w:p>
    <w:p>
      <w:pPr>
        <w:pStyle w:val="Body"/>
      </w:pPr>
    </w:p>
    <w:p>
      <w:pPr>
        <w:pStyle w:val="Body"/>
        <w:rPr>
          <w:rFonts w:ascii="Times New Roman" w:cs="Times New Roman" w:hAnsi="Times New Roman" w:eastAsia="Times New Roman"/>
          <w:b w:val="1"/>
          <w:bCs w:val="1"/>
          <w:i w:val="1"/>
          <w:iCs w:val="1"/>
          <w:color w:val="000000"/>
          <w:sz w:val="28"/>
          <w:szCs w:val="28"/>
          <w:u w:color="000000"/>
        </w:rPr>
      </w:pPr>
      <w:r>
        <w:rPr>
          <w:rFonts w:ascii="Times New Roman" w:hAnsi="Times New Roman"/>
          <w:b w:val="1"/>
          <w:bCs w:val="1"/>
          <w:i w:val="1"/>
          <w:iCs w:val="1"/>
          <w:color w:val="000000"/>
          <w:sz w:val="28"/>
          <w:szCs w:val="28"/>
          <w:u w:color="000000"/>
          <w:rtl w:val="0"/>
          <w:lang w:val="en-US"/>
        </w:rPr>
        <w:t xml:space="preserve">&lt;&lt;insert quote here&gt;&gt; </w:t>
      </w:r>
    </w:p>
    <w:p>
      <w:pPr>
        <w:pStyle w:val="Body"/>
      </w:pPr>
    </w:p>
    <w:p>
      <w:pPr>
        <w:pStyle w:val="Body"/>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en-US"/>
        </w:rPr>
        <w:t xml:space="preserve">Over the past 10 weeks, the Ashe Center has been able to track the consumption of these products and has estimated that over 1000 pads and tampons have since been distributed. Ashe Center interns continue to restock on a daily basis, to fulfill the high demand and necessity of these products. Students are limited to 3 products per visit. </w:t>
      </w:r>
    </w:p>
    <w:p>
      <w:pPr>
        <w:pStyle w:val="Body"/>
        <w:rPr>
          <w:rFonts w:ascii="Times New Roman" w:cs="Times New Roman" w:hAnsi="Times New Roman" w:eastAsia="Times New Roman"/>
          <w:color w:val="000000"/>
          <w:sz w:val="28"/>
          <w:szCs w:val="28"/>
          <w:u w:color="000000"/>
        </w:rPr>
      </w:pPr>
    </w:p>
    <w:p>
      <w:pPr>
        <w:pStyle w:val="Body"/>
        <w:rPr>
          <w:rFonts w:ascii="Times New Roman" w:cs="Times New Roman" w:hAnsi="Times New Roman" w:eastAsia="Times New Roman"/>
          <w:color w:val="000000"/>
          <w:sz w:val="28"/>
          <w:szCs w:val="28"/>
          <w:u w:color="000000"/>
        </w:rPr>
      </w:pPr>
      <w:r>
        <w:rPr>
          <w:rFonts w:ascii="Times New Roman" w:hAnsi="Times New Roman"/>
          <w:color w:val="000000"/>
          <w:sz w:val="28"/>
          <w:szCs w:val="28"/>
          <w:u w:color="000000"/>
          <w:rtl w:val="0"/>
          <w:lang w:val="en-US"/>
        </w:rPr>
        <w:t xml:space="preserve">The Ashe Center </w:t>
      </w:r>
      <w:r>
        <w:rPr>
          <w:rFonts w:ascii="Times New Roman" w:hAnsi="Times New Roman"/>
          <w:color w:val="000000"/>
          <w:sz w:val="28"/>
          <w:szCs w:val="28"/>
          <w:u w:color="000000"/>
          <w:rtl w:val="0"/>
          <w:lang w:val="en-US"/>
        </w:rPr>
        <w:t xml:space="preserve">and Student Wellness Commission </w:t>
      </w:r>
      <w:r>
        <w:rPr>
          <w:rFonts w:ascii="Times New Roman" w:hAnsi="Times New Roman"/>
          <w:color w:val="000000"/>
          <w:sz w:val="28"/>
          <w:szCs w:val="28"/>
          <w:u w:color="000000"/>
          <w:rtl w:val="0"/>
        </w:rPr>
        <w:t>plans</w:t>
      </w:r>
      <w:r>
        <w:rPr>
          <w:rFonts w:ascii="Times New Roman" w:hAnsi="Times New Roman"/>
          <w:color w:val="000000"/>
          <w:sz w:val="28"/>
          <w:szCs w:val="28"/>
          <w:u w:color="000000"/>
          <w:rtl w:val="0"/>
          <w:lang w:val="en-US"/>
        </w:rPr>
        <w:t xml:space="preserve"> to survey the population within the next school year to assess further needs and adjust the available products as needed. Currently, $10000 have been allocated solely to fund this project. </w:t>
      </w:r>
    </w:p>
    <w:p>
      <w:pPr>
        <w:pStyle w:val="Body"/>
        <w:rPr>
          <w:rFonts w:ascii="Times New Roman" w:cs="Times New Roman" w:hAnsi="Times New Roman" w:eastAsia="Times New Roman"/>
          <w:sz w:val="28"/>
          <w:szCs w:val="28"/>
        </w:rPr>
      </w:pPr>
      <w:r>
        <w:rPr>
          <w:rFonts w:ascii="Arial Unicode MS" w:cs="Arial Unicode MS" w:hAnsi="Arial Unicode MS" w:eastAsia="Arial Unicode MS"/>
          <w:b w:val="0"/>
          <w:bCs w:val="0"/>
          <w:i w:val="0"/>
          <w:iCs w:val="0"/>
        </w:rPr>
        <w:br w:type="textWrapping"/>
      </w:r>
      <w:r>
        <w:rPr>
          <w:rFonts w:ascii="Times New Roman" w:hAnsi="Times New Roman"/>
          <w:sz w:val="28"/>
          <w:szCs w:val="28"/>
          <w:rtl w:val="0"/>
          <w:lang w:val="en-US"/>
        </w:rPr>
        <w:t xml:space="preserve">The Student Wellness Commission hopes to expand the availability of these resources to different parts of campus in the future, including but not limited to the dorms.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 xml:space="preserve">The mission of </w:t>
      </w:r>
      <w:r>
        <w:rPr>
          <w:rFonts w:ascii="Times New Roman" w:hAnsi="Times New Roman"/>
          <w:sz w:val="28"/>
          <w:szCs w:val="28"/>
          <w:rtl w:val="0"/>
          <w:lang w:val="en-US"/>
        </w:rPr>
        <w:t>t</w:t>
      </w:r>
      <w:r>
        <w:rPr>
          <w:rFonts w:ascii="Times New Roman" w:hAnsi="Times New Roman"/>
          <w:sz w:val="28"/>
          <w:szCs w:val="28"/>
          <w:rtl w:val="0"/>
          <w:lang w:val="en-US"/>
        </w:rPr>
        <w:t xml:space="preserve">he </w:t>
      </w:r>
      <w:r>
        <w:rPr>
          <w:rFonts w:ascii="Times New Roman" w:hAnsi="Times New Roman"/>
          <w:sz w:val="28"/>
          <w:szCs w:val="28"/>
          <w:rtl w:val="0"/>
          <w:lang w:val="en-US"/>
        </w:rPr>
        <w:t xml:space="preserve">Student Wellness Commission </w:t>
      </w:r>
      <w:r>
        <w:rPr>
          <w:rFonts w:ascii="Times New Roman" w:hAnsi="Times New Roman"/>
          <w:sz w:val="28"/>
          <w:szCs w:val="28"/>
          <w:rtl w:val="0"/>
        </w:rPr>
        <w:t>is</w:t>
      </w:r>
      <w:r>
        <w:rPr>
          <w:rFonts w:ascii="Times New Roman" w:hAnsi="Times New Roman"/>
          <w:sz w:val="28"/>
          <w:szCs w:val="28"/>
          <w:rtl w:val="0"/>
          <w:lang w:val="en-US"/>
        </w:rPr>
        <w:t xml:space="preserve"> to promote the holistic health and wellness of the UCLA student body through programs, events, advocacy efforts, and health education. </w:t>
      </w:r>
      <w:r>
        <w:rPr>
          <w:rFonts w:ascii="Times New Roman" w:hAnsi="Times New Roman"/>
          <w:sz w:val="28"/>
          <w:szCs w:val="28"/>
          <w:rtl w:val="0"/>
          <w:lang w:val="en-US"/>
        </w:rPr>
        <w:t>With 12 committees, SWC covers a wide range of important topics such as sexual health, physical wellness, and mental illness. Our programs range from health symposiums to Bruin Plaza fairs to an annual 5K race, and we proactively push for actionable change on this campus.</w:t>
      </w:r>
    </w:p>
    <w:p>
      <w:pPr>
        <w:pStyle w:val="Body"/>
      </w:pPr>
    </w:p>
    <w:p>
      <w:pPr>
        <w:pStyle w:val="Body"/>
        <w:rPr>
          <w:rStyle w:val="None"/>
          <w:rFonts w:ascii="Times New Roman" w:cs="Times New Roman" w:hAnsi="Times New Roman" w:eastAsia="Times New Roman"/>
          <w:color w:val="1155cc"/>
          <w:sz w:val="28"/>
          <w:szCs w:val="28"/>
          <w:u w:val="single" w:color="1155cc"/>
        </w:rPr>
      </w:pPr>
      <w:r>
        <w:rPr>
          <w:rFonts w:ascii="Times New Roman" w:hAnsi="Times New Roman"/>
          <w:sz w:val="28"/>
          <w:szCs w:val="28"/>
          <w:rtl w:val="0"/>
          <w:lang w:val="en-US"/>
        </w:rPr>
        <w:t xml:space="preserve">For more information about </w:t>
      </w:r>
      <w:r>
        <w:rPr>
          <w:rFonts w:ascii="Times New Roman" w:hAnsi="Times New Roman"/>
          <w:sz w:val="28"/>
          <w:szCs w:val="28"/>
          <w:rtl w:val="0"/>
          <w:lang w:val="en-US"/>
        </w:rPr>
        <w:t xml:space="preserve"> Student Wellness Commission</w:t>
      </w:r>
      <w:r>
        <w:rPr>
          <w:rFonts w:ascii="Times New Roman" w:hAnsi="Times New Roman"/>
          <w:sz w:val="28"/>
          <w:szCs w:val="28"/>
          <w:rtl w:val="0"/>
          <w:lang w:val="en-US"/>
        </w:rPr>
        <w:t xml:space="preserve">, or to </w:t>
      </w:r>
      <w:r>
        <w:rPr>
          <w:rFonts w:ascii="Times New Roman" w:hAnsi="Times New Roman"/>
          <w:sz w:val="28"/>
          <w:szCs w:val="28"/>
          <w:rtl w:val="0"/>
          <w:lang w:val="en-US"/>
        </w:rPr>
        <w:t>get involved</w:t>
      </w:r>
      <w:r>
        <w:rPr>
          <w:rFonts w:ascii="Times New Roman" w:hAnsi="Times New Roman"/>
          <w:sz w:val="28"/>
          <w:szCs w:val="28"/>
          <w:rtl w:val="0"/>
        </w:rPr>
        <w:t>, visit</w:t>
      </w:r>
      <w:r>
        <w:rPr>
          <w:rStyle w:val="Hyperlink.0"/>
        </w:rPr>
        <w:fldChar w:fldCharType="begin" w:fldLock="0"/>
      </w:r>
      <w:r>
        <w:rPr>
          <w:rStyle w:val="Hyperlink.0"/>
        </w:rPr>
        <w:instrText xml:space="preserve"> HYPERLINK "http://www.hrc.org/hei"</w:instrText>
      </w:r>
      <w:r>
        <w:rPr>
          <w:rStyle w:val="Hyperlink.0"/>
        </w:rPr>
        <w:fldChar w:fldCharType="separate" w:fldLock="0"/>
      </w:r>
      <w:r>
        <w:rPr>
          <w:rStyle w:val="Hyperlink.0"/>
          <w:rtl w:val="0"/>
        </w:rPr>
        <w:t xml:space="preserve"> </w:t>
      </w:r>
      <w:r>
        <w:rPr/>
        <w:fldChar w:fldCharType="end" w:fldLock="0"/>
      </w:r>
      <w:r>
        <w:rPr>
          <w:rStyle w:val="None"/>
          <w:rFonts w:ascii="Times New Roman" w:hAnsi="Times New Roman"/>
          <w:color w:val="1155cc"/>
          <w:sz w:val="28"/>
          <w:szCs w:val="28"/>
          <w:u w:val="single" w:color="1155cc"/>
          <w:rtl w:val="0"/>
          <w:lang w:val="en-US"/>
        </w:rPr>
        <w:t>www.swc.ucla.edu.</w:t>
      </w:r>
    </w:p>
    <w:p>
      <w:pPr>
        <w:pStyle w:val="Body"/>
        <w:rPr>
          <w:rFonts w:ascii="Times New Roman" w:cs="Times New Roman" w:hAnsi="Times New Roman" w:eastAsia="Times New Roman"/>
          <w:sz w:val="28"/>
          <w:szCs w:val="28"/>
        </w:rPr>
      </w:pPr>
    </w:p>
    <w:p>
      <w:pPr>
        <w:pStyle w:val="Body"/>
        <w:rPr>
          <w:rStyle w:val="Hyperlink.0"/>
        </w:rPr>
      </w:pPr>
      <w:r>
        <w:rPr>
          <w:rStyle w:val="Hyperlink.0"/>
          <w:rtl w:val="0"/>
          <w:lang w:val="en-US"/>
        </w:rPr>
        <w:t xml:space="preserve">To visit The Ashe Center website, visit </w:t>
      </w:r>
      <w:r>
        <w:rPr>
          <w:rStyle w:val="Hyperlink.1"/>
        </w:rPr>
        <w:fldChar w:fldCharType="begin" w:fldLock="0"/>
      </w:r>
      <w:r>
        <w:rPr>
          <w:rStyle w:val="Hyperlink.1"/>
        </w:rPr>
        <w:instrText xml:space="preserve"> HYPERLINK "http://www.studenthealth.ucla.edu"</w:instrText>
      </w:r>
      <w:r>
        <w:rPr>
          <w:rStyle w:val="Hyperlink.1"/>
        </w:rPr>
        <w:fldChar w:fldCharType="separate" w:fldLock="0"/>
      </w:r>
      <w:r>
        <w:rPr>
          <w:rStyle w:val="Hyperlink.1"/>
          <w:rtl w:val="0"/>
          <w:lang w:val="en-US"/>
        </w:rPr>
        <w:t>www.studenthealth.ucla.edu</w:t>
      </w:r>
      <w:r>
        <w:rPr/>
        <w:fldChar w:fldCharType="end" w:fldLock="0"/>
      </w:r>
      <w:r>
        <w:rPr>
          <w:rStyle w:val="Hyperlink.0"/>
          <w:rtl w:val="0"/>
        </w:rPr>
        <w:t>.</w:t>
      </w:r>
    </w:p>
    <w:p>
      <w:pPr>
        <w:pStyle w:val="Body"/>
      </w:pPr>
      <w:r>
        <w:rPr>
          <w:rStyle w:val="Hyperlink.0"/>
          <w:rtl w:val="0"/>
        </w:rPr>
        <w:t xml:space="preserve"> </w:t>
      </w:r>
    </w:p>
    <w:p>
      <w:pPr>
        <w:pStyle w:val="Body"/>
        <w:rPr>
          <w:rFonts w:ascii="Times New Roman" w:cs="Times New Roman" w:hAnsi="Times New Roman" w:eastAsia="Times New Roman"/>
          <w:sz w:val="28"/>
          <w:szCs w:val="28"/>
        </w:rPr>
      </w:pPr>
    </w:p>
    <w:p>
      <w:pPr>
        <w:pStyle w:val="Body"/>
        <w:jc w:val="center"/>
        <w:rPr>
          <w:rStyle w:val="Hyperlink.0"/>
        </w:rPr>
      </w:pPr>
      <w:r>
        <w:rPr>
          <w:rStyle w:val="Hyperlink.0"/>
          <w:rtl w:val="0"/>
        </w:rPr>
        <w:t># # #</w:t>
      </w:r>
    </w:p>
    <w:p>
      <w:pPr>
        <w:pStyle w:val="Body"/>
        <w:jc w:val="center"/>
        <w:rPr>
          <w:rStyle w:val="Hyperlink.0"/>
        </w:rPr>
      </w:pPr>
    </w:p>
    <w:p>
      <w:pPr>
        <w:pStyle w:val="Body"/>
        <w:jc w:val="center"/>
        <w:rPr>
          <w:rStyle w:val="Hyperlink.0"/>
        </w:rPr>
      </w:pPr>
    </w:p>
    <w:p>
      <w:pPr>
        <w:pStyle w:val="Body"/>
        <w:rPr>
          <w:rStyle w:val="Hyperlink.0"/>
        </w:rPr>
      </w:pPr>
      <w:r>
        <w:rPr>
          <w:rStyle w:val="Link"/>
        </w:rPr>
        <w:fldChar w:fldCharType="begin" w:fldLock="0"/>
      </w:r>
      <w:r>
        <w:rPr>
          <w:rStyle w:val="Link"/>
        </w:rPr>
        <w:instrText xml:space="preserve"> HYPERLINK "http://dailybruin.com/2016/11/22/student-wellness-commission-begins-providing-free-menstrual-products/"</w:instrText>
      </w:r>
      <w:r>
        <w:rPr>
          <w:rStyle w:val="Link"/>
        </w:rPr>
        <w:fldChar w:fldCharType="separate" w:fldLock="0"/>
      </w:r>
      <w:r>
        <w:rPr>
          <w:rStyle w:val="Link"/>
          <w:rtl w:val="0"/>
          <w:lang w:val="en-US"/>
        </w:rPr>
        <w:t>http://dailybruin.com/2016/11/22/student-wellness-commission-begins-providing-free-menstrual-products/</w:t>
      </w:r>
      <w:r>
        <w:rPr/>
        <w:fldChar w:fldCharType="end" w:fldLock="0"/>
      </w:r>
    </w:p>
    <w:p>
      <w:pPr>
        <w:pStyle w:val="Body"/>
      </w:pPr>
    </w:p>
    <w:p>
      <w:pPr>
        <w:pStyle w:val="Body"/>
      </w:pPr>
      <w:r>
        <w:rPr>
          <w:rStyle w:val="Link"/>
        </w:rPr>
        <w:fldChar w:fldCharType="begin" w:fldLock="0"/>
      </w:r>
      <w:r>
        <w:rPr>
          <w:rStyle w:val="Link"/>
        </w:rPr>
        <w:instrText xml:space="preserve"> HYPERLINK "http://dailybruin.com/2017/01/31/usac-expands-efforts-to-provide-free-feminine-hygiene-products/"</w:instrText>
      </w:r>
      <w:r>
        <w:rPr>
          <w:rStyle w:val="Link"/>
        </w:rPr>
        <w:fldChar w:fldCharType="separate" w:fldLock="0"/>
      </w:r>
      <w:r>
        <w:rPr>
          <w:rStyle w:val="Link"/>
          <w:rtl w:val="0"/>
          <w:lang w:val="en-US"/>
        </w:rPr>
        <w:t>http://dailybruin.com/2017/01/31/usac-expands-efforts-to-provide-free-feminine-hygiene-products/</w:t>
      </w:r>
      <w:r>
        <w:rPr/>
        <w:fldChar w:fldCharType="end" w:fldLock="0"/>
      </w: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8"/>
      <w:szCs w:val="28"/>
    </w:rPr>
  </w:style>
  <w:style w:type="character" w:styleId="Link">
    <w:name w:val="Link"/>
    <w:rPr>
      <w:color w:val="0000ff"/>
      <w:u w:val="single" w:color="0000ff"/>
    </w:rPr>
  </w:style>
  <w:style w:type="character" w:styleId="Hyperlink.1">
    <w:name w:val="Hyperlink.1"/>
    <w:basedOn w:val="Link"/>
    <w:next w:val="Hyperlink.1"/>
    <w:rPr>
      <w:rFonts w:ascii="Times New Roman" w:cs="Times New Roman" w:hAnsi="Times New Roman" w:eastAsia="Times New Roman"/>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